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08A5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rtl/>
        </w:rPr>
      </w:pPr>
      <w:bookmarkStart w:id="0" w:name="_Hlk197612928"/>
      <w:r w:rsidRPr="00E507B8">
        <w:rPr>
          <w:rFonts w:cstheme="minorHAnsi"/>
          <w:b/>
          <w:bCs/>
          <w:color w:val="000000"/>
          <w:sz w:val="24"/>
          <w:szCs w:val="24"/>
          <w:rtl/>
        </w:rPr>
        <w:t>פרסומים אקדמיים:</w:t>
      </w:r>
    </w:p>
    <w:p w14:paraId="04A26F1F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IL"/>
        </w:rPr>
      </w:pPr>
    </w:p>
    <w:p w14:paraId="668DAF2F" w14:textId="77777777" w:rsidR="00B52A56" w:rsidRPr="00754DA2" w:rsidRDefault="00B52A56" w:rsidP="00B52A56">
      <w:pPr>
        <w:autoSpaceDE w:val="0"/>
        <w:autoSpaceDN w:val="0"/>
        <w:bidi/>
        <w:adjustRightInd w:val="0"/>
        <w:spacing w:line="240" w:lineRule="auto"/>
        <w:jc w:val="right"/>
        <w:rPr>
          <w:rFonts w:cstheme="minorHAnsi"/>
          <w:color w:val="222222"/>
          <w:sz w:val="24"/>
          <w:szCs w:val="24"/>
          <w:lang w:val="en-IL"/>
        </w:rPr>
      </w:pPr>
      <w:r w:rsidRPr="00E507B8">
        <w:rPr>
          <w:rFonts w:cstheme="minorHAnsi"/>
          <w:color w:val="000000"/>
          <w:sz w:val="24"/>
          <w:szCs w:val="24"/>
        </w:rPr>
        <w:t>*Cohn, N.L. (</w:t>
      </w:r>
      <w:r>
        <w:rPr>
          <w:rFonts w:cstheme="minorHAnsi"/>
          <w:color w:val="000000"/>
          <w:sz w:val="24"/>
          <w:szCs w:val="24"/>
        </w:rPr>
        <w:t>2025</w:t>
      </w:r>
      <w:r w:rsidRPr="00E507B8">
        <w:rPr>
          <w:rFonts w:cstheme="minorHAnsi"/>
          <w:color w:val="000000"/>
          <w:sz w:val="24"/>
          <w:szCs w:val="24"/>
        </w:rPr>
        <w:t xml:space="preserve">), </w:t>
      </w:r>
      <w:r w:rsidRPr="00976CFE">
        <w:rPr>
          <w:rFonts w:cstheme="minorHAnsi"/>
          <w:color w:val="222222"/>
          <w:sz w:val="24"/>
          <w:szCs w:val="24"/>
        </w:rPr>
        <w:t xml:space="preserve">My Love of Art Presents Me with a Daily Dilemma”: The Professional </w:t>
      </w:r>
      <w:r w:rsidRPr="00754DA2">
        <w:rPr>
          <w:rFonts w:cstheme="minorHAnsi"/>
          <w:sz w:val="24"/>
          <w:szCs w:val="24"/>
        </w:rPr>
        <w:t xml:space="preserve">Identity of Haredi Art Teachers in Ultra-Orthodox High Schools for Girl, Israel Studies, </w:t>
      </w:r>
      <w:hyperlink r:id="rId4" w:tgtFrame="_self" w:history="1">
        <w:r w:rsidRPr="00754DA2">
          <w:rPr>
            <w:rStyle w:val="Hyperlink"/>
            <w:rFonts w:cstheme="minorHAnsi"/>
            <w:color w:val="auto"/>
            <w:sz w:val="24"/>
            <w:szCs w:val="24"/>
            <w:u w:val="none"/>
            <w:lang w:val="en-IL"/>
          </w:rPr>
          <w:t xml:space="preserve">Israel Studies, 2025, Vol 30, Issue 2, </w:t>
        </w:r>
        <w:r>
          <w:rPr>
            <w:rStyle w:val="Hyperlink"/>
            <w:rFonts w:cstheme="minorHAnsi"/>
            <w:color w:val="auto"/>
            <w:sz w:val="24"/>
            <w:szCs w:val="24"/>
            <w:u w:val="none"/>
            <w:lang w:val="en-IL"/>
          </w:rPr>
          <w:t xml:space="preserve">pp. </w:t>
        </w:r>
        <w:r w:rsidRPr="00754DA2">
          <w:rPr>
            <w:rStyle w:val="Hyperlink"/>
            <w:rFonts w:cstheme="minorHAnsi"/>
            <w:color w:val="auto"/>
            <w:sz w:val="24"/>
            <w:szCs w:val="24"/>
            <w:u w:val="none"/>
            <w:lang w:val="en-IL"/>
          </w:rPr>
          <w:t>227</w:t>
        </w:r>
      </w:hyperlink>
      <w:r>
        <w:rPr>
          <w:rFonts w:cstheme="minorHAnsi"/>
          <w:sz w:val="24"/>
          <w:szCs w:val="24"/>
        </w:rPr>
        <w:t>-251</w:t>
      </w:r>
    </w:p>
    <w:p w14:paraId="64867D62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E507B8">
        <w:rPr>
          <w:rFonts w:cstheme="minorHAnsi"/>
          <w:color w:val="000000"/>
          <w:sz w:val="24"/>
          <w:szCs w:val="24"/>
        </w:rPr>
        <w:t xml:space="preserve">* Cohn, N.L. (2020). </w:t>
      </w:r>
      <w:r w:rsidRPr="00E507B8">
        <w:rPr>
          <w:rFonts w:cstheme="minorHAnsi"/>
          <w:color w:val="222222"/>
          <w:sz w:val="24"/>
          <w:szCs w:val="24"/>
          <w:shd w:val="clear" w:color="auto" w:fill="FFFFFF"/>
        </w:rPr>
        <w:t xml:space="preserve">Feminine Identity in Ultra-Orthodox Jewish Women’s Contemporary Art, </w:t>
      </w:r>
      <w:r w:rsidRPr="00E507B8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Shofar: An Interdisciplinary Journal of Jewish Studies</w:t>
      </w:r>
      <w:r w:rsidRPr="00E507B8">
        <w:rPr>
          <w:rFonts w:cstheme="minorHAnsi"/>
          <w:color w:val="222222"/>
          <w:sz w:val="24"/>
          <w:szCs w:val="24"/>
          <w:shd w:val="clear" w:color="auto" w:fill="FFFFFF"/>
        </w:rPr>
        <w:t xml:space="preserve">, Purdue University Press, </w:t>
      </w:r>
      <w:r w:rsidRPr="00E507B8">
        <w:rPr>
          <w:rFonts w:cstheme="minorHAnsi"/>
          <w:color w:val="000000"/>
          <w:sz w:val="24"/>
          <w:szCs w:val="24"/>
        </w:rPr>
        <w:t xml:space="preserve">(commissioned article), pp. 281-301. </w:t>
      </w:r>
      <w:r w:rsidRPr="00E507B8">
        <w:rPr>
          <w:rFonts w:cstheme="minorHAnsi"/>
          <w:color w:val="0A0A0A"/>
          <w:sz w:val="21"/>
          <w:szCs w:val="21"/>
          <w:shd w:val="clear" w:color="auto" w:fill="FFFFFF"/>
        </w:rPr>
        <w:t> </w:t>
      </w:r>
      <w:hyperlink r:id="rId5" w:history="1">
        <w:r w:rsidRPr="00E507B8">
          <w:rPr>
            <w:rStyle w:val="Hyperlink"/>
            <w:rFonts w:cstheme="minorHAnsi"/>
            <w:color w:val="315FA0"/>
            <w:sz w:val="21"/>
            <w:szCs w:val="21"/>
            <w:shd w:val="clear" w:color="auto" w:fill="FFFFFF"/>
          </w:rPr>
          <w:t>https://doi.org/10.1353/sho.2020.0016</w:t>
        </w:r>
      </w:hyperlink>
      <w:r w:rsidRPr="00E507B8">
        <w:rPr>
          <w:rFonts w:cstheme="minorHAnsi"/>
          <w:color w:val="0A0A0A"/>
          <w:sz w:val="21"/>
          <w:szCs w:val="21"/>
          <w:shd w:val="clear" w:color="auto" w:fill="FFFFFF"/>
        </w:rPr>
        <w:t>.</w:t>
      </w:r>
    </w:p>
    <w:p w14:paraId="1684F43E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222222"/>
          <w:sz w:val="24"/>
          <w:szCs w:val="24"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כהן, נ.ל. (2017). קום המדינה באמנות היה או לא היה? </w:t>
      </w:r>
      <w:r w:rsidRPr="00E507B8">
        <w:rPr>
          <w:rFonts w:cstheme="minorHAnsi"/>
          <w:color w:val="222222"/>
          <w:sz w:val="24"/>
          <w:szCs w:val="24"/>
          <w:rtl/>
        </w:rPr>
        <w:t xml:space="preserve">סביב למדורה בסלון: שדה האמנות היהודי בישראל, 1949-1948, </w:t>
      </w:r>
      <w:r w:rsidRPr="00E507B8">
        <w:rPr>
          <w:rFonts w:cstheme="minorHAnsi"/>
          <w:i/>
          <w:iCs/>
          <w:color w:val="000000"/>
          <w:sz w:val="24"/>
          <w:szCs w:val="24"/>
          <w:rtl/>
        </w:rPr>
        <w:t xml:space="preserve">ספר </w:t>
      </w:r>
      <w:proofErr w:type="spellStart"/>
      <w:r w:rsidRPr="00E507B8">
        <w:rPr>
          <w:rFonts w:cstheme="minorHAnsi"/>
          <w:i/>
          <w:iCs/>
          <w:color w:val="000000"/>
          <w:sz w:val="24"/>
          <w:szCs w:val="24"/>
          <w:rtl/>
        </w:rPr>
        <w:t>עמד"ות</w:t>
      </w:r>
      <w:proofErr w:type="spellEnd"/>
      <w:r w:rsidRPr="00E507B8">
        <w:rPr>
          <w:rFonts w:cstheme="minorHAnsi"/>
          <w:i/>
          <w:iCs/>
          <w:color w:val="000000"/>
          <w:sz w:val="24"/>
          <w:szCs w:val="24"/>
          <w:rtl/>
        </w:rPr>
        <w:t xml:space="preserve">, 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 ט</w:t>
      </w:r>
      <w:r w:rsidRPr="00E507B8">
        <w:rPr>
          <w:rFonts w:cstheme="minorHAnsi"/>
          <w:color w:val="000000"/>
          <w:sz w:val="24"/>
          <w:szCs w:val="24"/>
        </w:rPr>
        <w:t>'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, עמ' 127-121. </w:t>
      </w:r>
      <w:r w:rsidRPr="00E507B8">
        <w:rPr>
          <w:rFonts w:cstheme="minorHAnsi"/>
          <w:color w:val="3F3F3F"/>
          <w:sz w:val="21"/>
          <w:szCs w:val="21"/>
          <w:shd w:val="clear" w:color="auto" w:fill="FFFFFF"/>
        </w:rPr>
        <w:t>9789657540084</w:t>
      </w:r>
    </w:p>
    <w:p w14:paraId="059AA79F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1A1A1A"/>
          <w:sz w:val="24"/>
          <w:szCs w:val="24"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color w:val="1A1A1A"/>
          <w:sz w:val="24"/>
          <w:szCs w:val="24"/>
          <w:rtl/>
        </w:rPr>
        <w:t xml:space="preserve">כהן, נ.ל. (2013). פרטים גרפיים: על קומיקס וידויי של נשים יהודיות, </w:t>
      </w:r>
      <w:r w:rsidRPr="00E507B8">
        <w:rPr>
          <w:rFonts w:cstheme="minorHAnsi"/>
          <w:i/>
          <w:iCs/>
          <w:color w:val="1A1A1A"/>
          <w:sz w:val="24"/>
          <w:szCs w:val="24"/>
          <w:rtl/>
        </w:rPr>
        <w:t>בצלאל</w:t>
      </w:r>
      <w:r w:rsidRPr="00E507B8">
        <w:rPr>
          <w:rFonts w:cstheme="minorHAnsi"/>
          <w:color w:val="1A1A1A"/>
          <w:sz w:val="24"/>
          <w:szCs w:val="24"/>
          <w:rtl/>
        </w:rPr>
        <w:t>, כתב עת לתרבות חזותית וחומרית</w:t>
      </w:r>
      <w:r w:rsidRPr="00E507B8">
        <w:rPr>
          <w:rFonts w:cstheme="minorHAnsi"/>
          <w:color w:val="000000"/>
          <w:sz w:val="24"/>
          <w:szCs w:val="24"/>
          <w:rtl/>
        </w:rPr>
        <w:t>, 28. [1-8] (כתב עת אינטרנטי</w:t>
      </w:r>
      <w:r w:rsidRPr="00E507B8">
        <w:rPr>
          <w:rFonts w:cstheme="minorHAnsi"/>
          <w:color w:val="000000"/>
          <w:sz w:val="24"/>
          <w:szCs w:val="24"/>
        </w:rPr>
        <w:t>(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 </w:t>
      </w:r>
      <w:r w:rsidRPr="00E507B8">
        <w:rPr>
          <w:rFonts w:cstheme="minorHAnsi"/>
          <w:b/>
          <w:bCs/>
          <w:color w:val="9E9E9E"/>
          <w:sz w:val="21"/>
          <w:szCs w:val="21"/>
        </w:rPr>
        <w:t>2707-3610</w:t>
      </w:r>
    </w:p>
    <w:p w14:paraId="191D41FA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000000"/>
          <w:sz w:val="24"/>
          <w:szCs w:val="24"/>
          <w:rtl/>
        </w:rPr>
      </w:pPr>
    </w:p>
    <w:p w14:paraId="1278C4AD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360" w:lineRule="auto"/>
        <w:rPr>
          <w:rFonts w:cstheme="minorHAnsi"/>
          <w:b/>
          <w:bCs/>
          <w:color w:val="1A1A1A"/>
          <w:sz w:val="24"/>
          <w:szCs w:val="24"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b/>
          <w:bCs/>
          <w:color w:val="1A1A1A"/>
          <w:sz w:val="24"/>
          <w:szCs w:val="24"/>
          <w:rtl/>
        </w:rPr>
        <w:t>פרקים בספרים</w:t>
      </w:r>
    </w:p>
    <w:p w14:paraId="3E1DE4CF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color w:val="000000"/>
          <w:sz w:val="24"/>
          <w:szCs w:val="24"/>
        </w:rPr>
        <w:t>Cohn, N. L. (2023). Religious Mommy Comics, in</w:t>
      </w:r>
      <w:r w:rsidRPr="00E507B8">
        <w:rPr>
          <w:rFonts w:cstheme="minorHAnsi"/>
          <w:color w:val="1D2129"/>
          <w:sz w:val="24"/>
          <w:szCs w:val="24"/>
        </w:rPr>
        <w:t xml:space="preserve"> Bauer, H., Greenbaum, A. and Lightman, S. (editors). </w:t>
      </w:r>
      <w:r w:rsidRPr="00E507B8">
        <w:rPr>
          <w:rFonts w:cstheme="minorHAnsi"/>
          <w:i/>
          <w:iCs/>
          <w:color w:val="1D2129"/>
          <w:sz w:val="24"/>
          <w:szCs w:val="24"/>
        </w:rPr>
        <w:t>Bodies/Borders in Jewish Women’s Comics</w:t>
      </w:r>
      <w:r w:rsidRPr="00E507B8">
        <w:rPr>
          <w:rFonts w:cstheme="minorHAnsi"/>
          <w:i/>
          <w:iCs/>
          <w:color w:val="000000"/>
          <w:sz w:val="24"/>
          <w:szCs w:val="24"/>
        </w:rPr>
        <w:t>,</w:t>
      </w:r>
      <w:r w:rsidRPr="00E507B8">
        <w:rPr>
          <w:rFonts w:cstheme="minorHAnsi"/>
          <w:color w:val="222222"/>
          <w:sz w:val="24"/>
          <w:szCs w:val="24"/>
          <w:shd w:val="clear" w:color="auto" w:fill="FFFFFF"/>
        </w:rPr>
        <w:t xml:space="preserve"> Syracuse University press,</w:t>
      </w:r>
      <w:r w:rsidRPr="00E507B8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E507B8">
        <w:rPr>
          <w:rFonts w:cstheme="minorHAnsi"/>
          <w:color w:val="000000"/>
          <w:sz w:val="24"/>
          <w:szCs w:val="24"/>
        </w:rPr>
        <w:t xml:space="preserve">(commissioned article). </w:t>
      </w:r>
      <w:hyperlink r:id="rId6" w:history="1">
        <w:r w:rsidRPr="00E507B8">
          <w:rPr>
            <w:rStyle w:val="Hyperlink"/>
            <w:rFonts w:cstheme="minorHAnsi"/>
            <w:sz w:val="24"/>
            <w:szCs w:val="24"/>
          </w:rPr>
          <w:t>https://doi.org/10.2307/jj.3485534</w:t>
        </w:r>
      </w:hyperlink>
    </w:p>
    <w:p w14:paraId="1BDFA960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  <w:rtl/>
        </w:rPr>
      </w:pPr>
      <w:r w:rsidRPr="00E507B8">
        <w:rPr>
          <w:rFonts w:cstheme="minorHAnsi"/>
          <w:color w:val="000000"/>
          <w:sz w:val="24"/>
          <w:szCs w:val="24"/>
        </w:rPr>
        <w:t xml:space="preserve">Cohn, N.L. </w:t>
      </w:r>
      <w:bookmarkStart w:id="1" w:name="_Hlk157423555"/>
      <w:r w:rsidRPr="00E507B8">
        <w:rPr>
          <w:rFonts w:cstheme="minorHAnsi"/>
          <w:color w:val="000000"/>
          <w:sz w:val="24"/>
          <w:szCs w:val="24"/>
        </w:rPr>
        <w:t xml:space="preserve">(ed). (2017). </w:t>
      </w:r>
      <w:proofErr w:type="spellStart"/>
      <w:r w:rsidRPr="00E507B8">
        <w:rPr>
          <w:rFonts w:cstheme="minorHAnsi"/>
          <w:i/>
          <w:iCs/>
          <w:color w:val="000000"/>
          <w:sz w:val="24"/>
          <w:szCs w:val="24"/>
        </w:rPr>
        <w:t>PopThodox</w:t>
      </w:r>
      <w:proofErr w:type="spellEnd"/>
      <w:r w:rsidRPr="00E507B8">
        <w:rPr>
          <w:rFonts w:cstheme="minorHAnsi"/>
          <w:color w:val="000000"/>
          <w:sz w:val="24"/>
          <w:szCs w:val="24"/>
        </w:rPr>
        <w:t xml:space="preserve"> (Cat.), The Biennale of Jerusalem</w:t>
      </w:r>
      <w:bookmarkEnd w:id="1"/>
      <w:r w:rsidRPr="00E507B8">
        <w:rPr>
          <w:rFonts w:cstheme="minorHAnsi"/>
          <w:color w:val="000000"/>
          <w:sz w:val="24"/>
          <w:szCs w:val="24"/>
        </w:rPr>
        <w:t>.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 *</w:t>
      </w:r>
    </w:p>
    <w:p w14:paraId="6E7188FC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  <w:rtl/>
        </w:rPr>
      </w:pPr>
      <w:r w:rsidRPr="00E507B8">
        <w:rPr>
          <w:rFonts w:cstheme="minorHAnsi"/>
          <w:color w:val="000000"/>
          <w:sz w:val="24"/>
          <w:szCs w:val="24"/>
        </w:rPr>
        <w:t xml:space="preserve"> </w:t>
      </w:r>
      <w:r w:rsidRPr="00E507B8">
        <w:rPr>
          <w:rFonts w:cstheme="minorHAnsi"/>
          <w:color w:val="1A1A1A"/>
          <w:sz w:val="24"/>
          <w:szCs w:val="24"/>
        </w:rPr>
        <w:t xml:space="preserve">• </w:t>
      </w:r>
      <w:bookmarkStart w:id="2" w:name="_Hlk157423616"/>
      <w:r w:rsidRPr="00E507B8">
        <w:rPr>
          <w:rFonts w:cstheme="minorHAnsi"/>
          <w:color w:val="222222"/>
          <w:sz w:val="24"/>
          <w:szCs w:val="24"/>
        </w:rPr>
        <w:t>Cohn, N.L.</w:t>
      </w:r>
      <w:r w:rsidRPr="00E507B8">
        <w:rPr>
          <w:rFonts w:cstheme="minorHAnsi"/>
          <w:color w:val="000000"/>
          <w:sz w:val="24"/>
          <w:szCs w:val="24"/>
        </w:rPr>
        <w:t xml:space="preserve">, (2017). Sarah Schenirer and Marilyn Monroe, an Oxymoron? Ultra-Orthodox Women Artists Female Discourse, in Maor, H. (ed.), </w:t>
      </w:r>
      <w:r w:rsidRPr="00E507B8">
        <w:rPr>
          <w:rFonts w:cstheme="minorHAnsi"/>
          <w:i/>
          <w:iCs/>
          <w:color w:val="000000"/>
          <w:sz w:val="24"/>
          <w:szCs w:val="24"/>
        </w:rPr>
        <w:t>Tseno Ureno</w:t>
      </w:r>
      <w:r w:rsidRPr="00E507B8">
        <w:rPr>
          <w:rFonts w:cstheme="minorHAnsi"/>
          <w:color w:val="000000"/>
          <w:sz w:val="24"/>
          <w:szCs w:val="24"/>
        </w:rPr>
        <w:t xml:space="preserve">, Israeli Women Artists Reflect on their Religious and Gender Identity, Ben Gurion University of the Negev, pp. 138-142. </w:t>
      </w:r>
      <w:bookmarkEnd w:id="2"/>
    </w:p>
    <w:p w14:paraId="14A125D5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color w:val="222222"/>
          <w:sz w:val="24"/>
          <w:szCs w:val="24"/>
        </w:rPr>
        <w:t>Cohn, N. L.</w:t>
      </w:r>
      <w:r w:rsidRPr="00E507B8">
        <w:rPr>
          <w:rFonts w:cstheme="minorHAnsi"/>
          <w:color w:val="000000"/>
          <w:sz w:val="24"/>
          <w:szCs w:val="24"/>
        </w:rPr>
        <w:t xml:space="preserve">, (2014). From the Other Side of the World to North America, in Lightman, S. (ed.), </w:t>
      </w:r>
      <w:r w:rsidRPr="00E507B8">
        <w:rPr>
          <w:rFonts w:cstheme="minorHAnsi"/>
          <w:i/>
          <w:iCs/>
          <w:color w:val="000000"/>
          <w:sz w:val="24"/>
          <w:szCs w:val="24"/>
        </w:rPr>
        <w:t>Graphic Details: Jewish Woman's Confessional Comics in Essays and Interviews</w:t>
      </w:r>
      <w:r w:rsidRPr="00E507B8">
        <w:rPr>
          <w:rFonts w:cstheme="minorHAnsi"/>
          <w:color w:val="000000"/>
          <w:sz w:val="24"/>
          <w:szCs w:val="24"/>
        </w:rPr>
        <w:t>, McFarland and Company, pp. 205-211.</w:t>
      </w:r>
    </w:p>
    <w:p w14:paraId="053520A4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360" w:lineRule="auto"/>
        <w:rPr>
          <w:rFonts w:cstheme="minorHAnsi"/>
          <w:color w:val="000000"/>
          <w:sz w:val="24"/>
          <w:szCs w:val="24"/>
          <w:rtl/>
        </w:rPr>
      </w:pPr>
      <w:r w:rsidRPr="00E507B8">
        <w:rPr>
          <w:rFonts w:cstheme="minorHAnsi"/>
          <w:b/>
          <w:bCs/>
          <w:color w:val="000000"/>
          <w:sz w:val="24"/>
          <w:szCs w:val="24"/>
          <w:rtl/>
        </w:rPr>
        <w:t>פרסומים כלליים</w:t>
      </w:r>
      <w:r w:rsidRPr="00E507B8">
        <w:rPr>
          <w:rFonts w:cstheme="minorHAnsi"/>
          <w:color w:val="000000"/>
          <w:sz w:val="24"/>
          <w:szCs w:val="24"/>
        </w:rPr>
        <w:t>:</w:t>
      </w:r>
    </w:p>
    <w:p w14:paraId="6231F942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507B8">
        <w:rPr>
          <w:rFonts w:cstheme="minorHAnsi"/>
          <w:color w:val="000000"/>
          <w:sz w:val="24"/>
          <w:szCs w:val="24"/>
          <w:rtl/>
        </w:rPr>
        <w:t xml:space="preserve">*כהן נ.ל. (2019). </w:t>
      </w:r>
      <w:hyperlink r:id="rId7" w:history="1">
        <w:proofErr w:type="spellStart"/>
        <w:r w:rsidRPr="00E507B8">
          <w:rPr>
            <w:rStyle w:val="Hyperlink"/>
            <w:rFonts w:cstheme="minorHAnsi"/>
            <w:sz w:val="24"/>
            <w:szCs w:val="24"/>
            <w:rtl/>
          </w:rPr>
          <w:t>לשוח</w:t>
        </w:r>
        <w:proofErr w:type="spellEnd"/>
        <w:r w:rsidRPr="00E507B8">
          <w:rPr>
            <w:rStyle w:val="Hyperlink"/>
            <w:rFonts w:cstheme="minorHAnsi"/>
            <w:sz w:val="24"/>
            <w:szCs w:val="24"/>
            <w:rtl/>
          </w:rPr>
          <w:t xml:space="preserve"> בשדה האמנות החרדית</w:t>
        </w:r>
      </w:hyperlink>
      <w:r w:rsidRPr="00E507B8">
        <w:rPr>
          <w:rFonts w:cstheme="minorHAnsi"/>
          <w:color w:val="000000"/>
          <w:sz w:val="24"/>
          <w:szCs w:val="24"/>
          <w:rtl/>
        </w:rPr>
        <w:t xml:space="preserve">, </w:t>
      </w:r>
      <w:r w:rsidRPr="00E507B8">
        <w:rPr>
          <w:rFonts w:cstheme="minorHAnsi"/>
          <w:i/>
          <w:iCs/>
          <w:color w:val="000000"/>
          <w:sz w:val="24"/>
          <w:szCs w:val="24"/>
          <w:rtl/>
        </w:rPr>
        <w:t>צריך עיון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, </w:t>
      </w:r>
      <w:proofErr w:type="spellStart"/>
      <w:r w:rsidRPr="00E507B8">
        <w:rPr>
          <w:rFonts w:cstheme="minorHAnsi"/>
          <w:color w:val="000000"/>
          <w:sz w:val="24"/>
          <w:szCs w:val="24"/>
          <w:rtl/>
        </w:rPr>
        <w:t>גרסא</w:t>
      </w:r>
      <w:proofErr w:type="spellEnd"/>
      <w:r w:rsidRPr="00E507B8">
        <w:rPr>
          <w:rFonts w:cstheme="minorHAnsi"/>
          <w:color w:val="000000"/>
          <w:sz w:val="24"/>
          <w:szCs w:val="24"/>
          <w:rtl/>
        </w:rPr>
        <w:t xml:space="preserve"> אינטרנטית, ללא ציון עמודים.</w:t>
      </w:r>
    </w:p>
    <w:p w14:paraId="32345655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color w:val="000000"/>
          <w:sz w:val="24"/>
          <w:szCs w:val="24"/>
          <w:rtl/>
        </w:rPr>
        <w:t>כהן נ.ל. (2009). אדמה באמנות הישראלית, בתוך כהן נ.ל. (עורכת)</w:t>
      </w:r>
      <w:r w:rsidRPr="00E507B8">
        <w:rPr>
          <w:rFonts w:cstheme="minorHAnsi"/>
          <w:color w:val="000000"/>
          <w:sz w:val="24"/>
          <w:szCs w:val="24"/>
        </w:rPr>
        <w:t xml:space="preserve"> </w:t>
      </w:r>
      <w:r w:rsidRPr="00E507B8">
        <w:rPr>
          <w:rFonts w:cstheme="minorHAnsi"/>
          <w:i/>
          <w:iCs/>
          <w:color w:val="000000"/>
          <w:sz w:val="24"/>
          <w:szCs w:val="24"/>
          <w:rtl/>
        </w:rPr>
        <w:t>אדם-אדמה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 (קטלוג),ירושלים, עמ' 11-7.</w:t>
      </w:r>
    </w:p>
    <w:p w14:paraId="1CE0D04D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000000"/>
          <w:sz w:val="24"/>
          <w:szCs w:val="24"/>
          <w:rtl/>
        </w:rPr>
      </w:pPr>
      <w:r w:rsidRPr="00E507B8">
        <w:rPr>
          <w:rFonts w:cstheme="minorHAnsi"/>
          <w:color w:val="1A1A1A"/>
          <w:sz w:val="24"/>
          <w:szCs w:val="24"/>
        </w:rPr>
        <w:t xml:space="preserve">• 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כהן נ.ל. (2009). מגן דוד וטלאי צהוב, בתוך: מישר, ר. </w:t>
      </w:r>
      <w:proofErr w:type="spellStart"/>
      <w:r w:rsidRPr="00E507B8">
        <w:rPr>
          <w:rFonts w:cstheme="minorHAnsi"/>
          <w:color w:val="000000"/>
          <w:sz w:val="24"/>
          <w:szCs w:val="24"/>
          <w:rtl/>
        </w:rPr>
        <w:t>ופרבשטיין</w:t>
      </w:r>
      <w:proofErr w:type="spellEnd"/>
      <w:r w:rsidRPr="00E507B8">
        <w:rPr>
          <w:rFonts w:cstheme="minorHAnsi"/>
          <w:color w:val="000000"/>
          <w:sz w:val="24"/>
          <w:szCs w:val="24"/>
          <w:rtl/>
        </w:rPr>
        <w:t xml:space="preserve">, א. (עורכות). </w:t>
      </w:r>
      <w:r w:rsidRPr="00E507B8">
        <w:rPr>
          <w:rFonts w:cstheme="minorHAnsi"/>
          <w:i/>
          <w:iCs/>
          <w:color w:val="000000"/>
          <w:sz w:val="24"/>
          <w:szCs w:val="24"/>
          <w:rtl/>
        </w:rPr>
        <w:t>יצירה מן המיצר – יצירות אמנות הנותנות ביטוי לאמונה ולזהות יהודית בשואה,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 מכללת בית וגן, ירושלים</w:t>
      </w:r>
      <w:r w:rsidRPr="00E507B8">
        <w:rPr>
          <w:rFonts w:cstheme="minorHAnsi"/>
          <w:color w:val="000000"/>
          <w:sz w:val="24"/>
          <w:szCs w:val="24"/>
        </w:rPr>
        <w:t>,</w:t>
      </w:r>
      <w:r w:rsidRPr="00E507B8">
        <w:rPr>
          <w:rFonts w:cstheme="minorHAnsi"/>
          <w:color w:val="000000"/>
          <w:sz w:val="24"/>
          <w:szCs w:val="24"/>
          <w:rtl/>
        </w:rPr>
        <w:t xml:space="preserve"> עמ' 63 – 76</w:t>
      </w:r>
      <w:r w:rsidRPr="00E507B8">
        <w:rPr>
          <w:rFonts w:cstheme="minorHAnsi"/>
          <w:color w:val="000000"/>
          <w:sz w:val="24"/>
          <w:szCs w:val="24"/>
        </w:rPr>
        <w:t xml:space="preserve"> .</w:t>
      </w:r>
    </w:p>
    <w:bookmarkEnd w:id="0"/>
    <w:p w14:paraId="1ECE5427" w14:textId="77777777" w:rsidR="00B52A56" w:rsidRPr="00E507B8" w:rsidRDefault="00B52A56" w:rsidP="00B52A56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000000"/>
          <w:sz w:val="24"/>
          <w:szCs w:val="24"/>
          <w:rtl/>
        </w:rPr>
      </w:pPr>
    </w:p>
    <w:p w14:paraId="57209F92" w14:textId="77777777" w:rsidR="00AD5179" w:rsidRDefault="00AD5179"/>
    <w:sectPr w:rsidR="00AD5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56"/>
    <w:rsid w:val="00014A8B"/>
    <w:rsid w:val="0097418F"/>
    <w:rsid w:val="00AD5179"/>
    <w:rsid w:val="00B20B32"/>
    <w:rsid w:val="00B52A56"/>
    <w:rsid w:val="00FC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702B"/>
  <w15:chartTrackingRefBased/>
  <w15:docId w15:val="{9D9C720D-E709-4613-B9CF-298157AE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A5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</w:rPr>
  </w:style>
  <w:style w:type="character" w:customStyle="1" w:styleId="TitleChar">
    <w:name w:val="Title Char"/>
    <w:basedOn w:val="DefaultParagraphFont"/>
    <w:link w:val="Title"/>
    <w:uiPriority w:val="10"/>
    <w:rsid w:val="00B52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L"/>
    </w:rPr>
  </w:style>
  <w:style w:type="character" w:customStyle="1" w:styleId="SubtitleChar">
    <w:name w:val="Subtitle Char"/>
    <w:basedOn w:val="DefaultParagraphFont"/>
    <w:link w:val="Subtitle"/>
    <w:uiPriority w:val="11"/>
    <w:rsid w:val="00B52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A56"/>
    <w:pPr>
      <w:spacing w:before="160"/>
      <w:jc w:val="center"/>
    </w:pPr>
    <w:rPr>
      <w:i/>
      <w:iCs/>
      <w:color w:val="404040" w:themeColor="text1" w:themeTint="BF"/>
      <w:lang w:val="en-IL"/>
    </w:rPr>
  </w:style>
  <w:style w:type="character" w:customStyle="1" w:styleId="QuoteChar">
    <w:name w:val="Quote Char"/>
    <w:basedOn w:val="DefaultParagraphFont"/>
    <w:link w:val="Quote"/>
    <w:uiPriority w:val="29"/>
    <w:rsid w:val="00B52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A56"/>
    <w:pPr>
      <w:ind w:left="720"/>
      <w:contextualSpacing/>
    </w:pPr>
    <w:rPr>
      <w:lang w:val="en-IL"/>
    </w:rPr>
  </w:style>
  <w:style w:type="character" w:styleId="IntenseEmphasis">
    <w:name w:val="Intense Emphasis"/>
    <w:basedOn w:val="DefaultParagraphFont"/>
    <w:uiPriority w:val="21"/>
    <w:qFormat/>
    <w:rsid w:val="00B52A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A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A5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2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yun.org.il/article/cohen-the-field-of-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2307/jj.3485534" TargetMode="External"/><Relationship Id="rId5" Type="http://schemas.openxmlformats.org/officeDocument/2006/relationships/hyperlink" Target="https://doi.org/10.1353/sho.2020.0016" TargetMode="External"/><Relationship Id="rId4" Type="http://schemas.openxmlformats.org/officeDocument/2006/relationships/hyperlink" Target="https://openurl.ebsco.com/results?sid=ebsco:ocu:record&amp;bquery=IS+1084-9513+AND+VI+30+AND+IP+2+AND+DT+2025&amp;link_origin=&amp;searchDescription=Israel%20Studies%2C%202025%2C%20Vol%2030%2C%20Issue%20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1971</Characters>
  <Application>Microsoft Office Word</Application>
  <DocSecurity>0</DocSecurity>
  <Lines>35</Lines>
  <Paragraphs>19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נעה לאה כהן</dc:creator>
  <cp:keywords/>
  <dc:description/>
  <cp:lastModifiedBy>נעה לאה כהן</cp:lastModifiedBy>
  <cp:revision>1</cp:revision>
  <dcterms:created xsi:type="dcterms:W3CDTF">2026-07-20T21:58:00Z</dcterms:created>
  <dcterms:modified xsi:type="dcterms:W3CDTF">2026-07-20T21:58:00Z</dcterms:modified>
</cp:coreProperties>
</file>