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BD0" w:rsidRPr="00D0583B" w:rsidRDefault="00D0583B" w:rsidP="00D0583B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D0583B">
        <w:rPr>
          <w:rFonts w:ascii="David" w:hAnsi="David" w:cs="David"/>
          <w:sz w:val="24"/>
          <w:szCs w:val="24"/>
          <w:rtl/>
        </w:rPr>
        <w:t>בס"ד</w:t>
      </w:r>
      <w:bookmarkStart w:id="0" w:name="_GoBack"/>
      <w:bookmarkEnd w:id="0"/>
    </w:p>
    <w:p w:rsidR="00D0583B" w:rsidRPr="00D0583B" w:rsidRDefault="00D0583B" w:rsidP="00D0583B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D0583B">
        <w:rPr>
          <w:rFonts w:ascii="David" w:hAnsi="David" w:cs="David"/>
          <w:sz w:val="24"/>
          <w:szCs w:val="24"/>
          <w:rtl/>
        </w:rPr>
        <w:t>פרסומים ד"ר ורד אלימלך</w:t>
      </w:r>
    </w:p>
    <w:p w:rsidR="00D0583B" w:rsidRPr="00D0583B" w:rsidRDefault="00D0583B" w:rsidP="00D0583B">
      <w:pPr>
        <w:spacing w:before="100" w:beforeAutospacing="1" w:after="100" w:afterAutospacing="1" w:line="360" w:lineRule="auto"/>
        <w:outlineLvl w:val="1"/>
        <w:rPr>
          <w:rFonts w:ascii="David" w:eastAsia="Times New Roman" w:hAnsi="David" w:cs="David"/>
          <w:b/>
          <w:bCs/>
          <w:sz w:val="24"/>
          <w:szCs w:val="24"/>
        </w:rPr>
      </w:pPr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מאמרים בכתבי עת </w:t>
      </w:r>
      <w:proofErr w:type="spellStart"/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>שפיטים</w:t>
      </w:r>
      <w:proofErr w:type="spellEnd"/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</w:p>
    <w:p w:rsidR="00D0583B" w:rsidRPr="00D0583B" w:rsidRDefault="00D0583B" w:rsidP="00D0583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proofErr w:type="spellStart"/>
      <w:r w:rsidRPr="00D0583B">
        <w:rPr>
          <w:rFonts w:ascii="David" w:eastAsia="Times New Roman" w:hAnsi="David" w:cs="David"/>
          <w:sz w:val="24"/>
          <w:szCs w:val="24"/>
        </w:rPr>
        <w:t>Chassida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, Y., Elimelech, V., &amp;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t>Schussheim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, S. (2026). Navigating the organizational boundary: Novice teachers’ perceptions of parent–teacher relations in complex educational systems. </w:t>
      </w:r>
      <w:r w:rsidRPr="00D0583B">
        <w:rPr>
          <w:rFonts w:ascii="David" w:eastAsia="Times New Roman" w:hAnsi="David" w:cs="David"/>
          <w:i/>
          <w:iCs/>
          <w:sz w:val="24"/>
          <w:szCs w:val="24"/>
        </w:rPr>
        <w:t>Systems, 14</w:t>
      </w:r>
      <w:r w:rsidRPr="00D0583B">
        <w:rPr>
          <w:rFonts w:ascii="David" w:eastAsia="Times New Roman" w:hAnsi="David" w:cs="David"/>
          <w:sz w:val="24"/>
          <w:szCs w:val="24"/>
        </w:rPr>
        <w:t xml:space="preserve">(5), 509. </w:t>
      </w:r>
      <w:hyperlink r:id="rId5" w:history="1">
        <w:r w:rsidRPr="00D0583B">
          <w:rPr>
            <w:rFonts w:ascii="David" w:eastAsia="Times New Roman" w:hAnsi="David" w:cs="David"/>
            <w:color w:val="0000FF"/>
            <w:sz w:val="24"/>
            <w:szCs w:val="24"/>
            <w:u w:val="single"/>
          </w:rPr>
          <w:t>https://doi.org/10.3390/systems14050509</w:t>
        </w:r>
      </w:hyperlink>
    </w:p>
    <w:p w:rsidR="00D0583B" w:rsidRPr="00D0583B" w:rsidRDefault="00D0583B" w:rsidP="00D0583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D0583B">
        <w:rPr>
          <w:rFonts w:ascii="David" w:eastAsia="Times New Roman" w:hAnsi="David" w:cs="David"/>
          <w:sz w:val="24"/>
          <w:szCs w:val="24"/>
          <w:rtl/>
        </w:rPr>
        <w:t xml:space="preserve">אלימלך, ו׳, חסידה, י׳, </w:t>
      </w:r>
      <w:proofErr w:type="spellStart"/>
      <w:r w:rsidRPr="00D0583B">
        <w:rPr>
          <w:rFonts w:ascii="David" w:eastAsia="Times New Roman" w:hAnsi="David" w:cs="David"/>
          <w:sz w:val="24"/>
          <w:szCs w:val="24"/>
          <w:rtl/>
        </w:rPr>
        <w:t>ושוסהיים</w:t>
      </w:r>
      <w:proofErr w:type="spellEnd"/>
      <w:r w:rsidRPr="00D0583B">
        <w:rPr>
          <w:rFonts w:ascii="David" w:eastAsia="Times New Roman" w:hAnsi="David" w:cs="David"/>
          <w:sz w:val="24"/>
          <w:szCs w:val="24"/>
          <w:rtl/>
        </w:rPr>
        <w:t xml:space="preserve">, ש׳. (2026). </w:t>
      </w:r>
      <w:proofErr w:type="spellStart"/>
      <w:r w:rsidRPr="00D0583B">
        <w:rPr>
          <w:rFonts w:ascii="David" w:eastAsia="Times New Roman" w:hAnsi="David" w:cs="David"/>
          <w:sz w:val="24"/>
          <w:szCs w:val="24"/>
          <w:rtl/>
        </w:rPr>
        <w:t>אינטר־סובייקטיביות</w:t>
      </w:r>
      <w:proofErr w:type="spellEnd"/>
      <w:r w:rsidRPr="00D0583B">
        <w:rPr>
          <w:rFonts w:ascii="David" w:eastAsia="Times New Roman" w:hAnsi="David" w:cs="David"/>
          <w:sz w:val="24"/>
          <w:szCs w:val="24"/>
          <w:rtl/>
        </w:rPr>
        <w:t xml:space="preserve"> במעורבות הורים: התמודדות של מחנכות מהמגזר החרדי המלמדות במערכת החינוך בישראל</w:t>
      </w:r>
      <w:r w:rsidRPr="00D0583B">
        <w:rPr>
          <w:rFonts w:ascii="David" w:eastAsia="Times New Roman" w:hAnsi="David" w:cs="David"/>
          <w:sz w:val="24"/>
          <w:szCs w:val="24"/>
        </w:rPr>
        <w:t xml:space="preserve">. </w:t>
      </w:r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 xml:space="preserve">עיונים </w:t>
      </w:r>
      <w:proofErr w:type="spellStart"/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>במינהל</w:t>
      </w:r>
      <w:proofErr w:type="spellEnd"/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 xml:space="preserve"> ובארגון החינוך, 40</w:t>
      </w:r>
      <w:r w:rsidRPr="00D0583B">
        <w:rPr>
          <w:rFonts w:ascii="David" w:eastAsia="Times New Roman" w:hAnsi="David" w:cs="David"/>
          <w:sz w:val="24"/>
          <w:szCs w:val="24"/>
        </w:rPr>
        <w:t>, 237–261.</w:t>
      </w:r>
    </w:p>
    <w:p w:rsidR="00D0583B" w:rsidRPr="00D0583B" w:rsidRDefault="00D0583B" w:rsidP="00D0583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proofErr w:type="spellStart"/>
      <w:r w:rsidRPr="00D0583B">
        <w:rPr>
          <w:rFonts w:ascii="David" w:eastAsia="Times New Roman" w:hAnsi="David" w:cs="David"/>
          <w:sz w:val="24"/>
          <w:szCs w:val="24"/>
        </w:rPr>
        <w:t>Chassida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, Y., &amp; Elimelech, V. (2025). Professional identity of educators within conservative communities: The case of the Israel’s ultra-Orthodox sector. </w:t>
      </w:r>
      <w:r w:rsidRPr="00D0583B">
        <w:rPr>
          <w:rFonts w:ascii="David" w:eastAsia="Times New Roman" w:hAnsi="David" w:cs="David"/>
          <w:i/>
          <w:iCs/>
          <w:sz w:val="24"/>
          <w:szCs w:val="24"/>
        </w:rPr>
        <w:t>Education and Society, 43</w:t>
      </w:r>
      <w:r w:rsidRPr="00D0583B">
        <w:rPr>
          <w:rFonts w:ascii="David" w:eastAsia="Times New Roman" w:hAnsi="David" w:cs="David"/>
          <w:sz w:val="24"/>
          <w:szCs w:val="24"/>
        </w:rPr>
        <w:t xml:space="preserve">(2), 87–103. </w:t>
      </w:r>
      <w:hyperlink r:id="rId6" w:history="1">
        <w:r w:rsidRPr="00D0583B">
          <w:rPr>
            <w:rFonts w:ascii="David" w:eastAsia="Times New Roman" w:hAnsi="David" w:cs="David"/>
            <w:color w:val="0000FF"/>
            <w:sz w:val="24"/>
            <w:szCs w:val="24"/>
            <w:u w:val="single"/>
          </w:rPr>
          <w:t>https://doi.org/10.7459/es/430207</w:t>
        </w:r>
      </w:hyperlink>
    </w:p>
    <w:p w:rsidR="00D0583B" w:rsidRPr="00D0583B" w:rsidRDefault="00D0583B" w:rsidP="00D0583B">
      <w:pPr>
        <w:spacing w:before="100" w:beforeAutospacing="1" w:after="100" w:afterAutospacing="1" w:line="360" w:lineRule="auto"/>
        <w:outlineLvl w:val="1"/>
        <w:rPr>
          <w:rFonts w:ascii="David" w:eastAsia="Times New Roman" w:hAnsi="David" w:cs="David"/>
          <w:b/>
          <w:bCs/>
          <w:sz w:val="24"/>
          <w:szCs w:val="24"/>
        </w:rPr>
      </w:pPr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מאמרים בכתבי עת </w:t>
      </w:r>
      <w:proofErr w:type="spellStart"/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>שפיטים</w:t>
      </w:r>
      <w:proofErr w:type="spellEnd"/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</w:p>
    <w:p w:rsidR="00D0583B" w:rsidRPr="00D0583B" w:rsidRDefault="00D0583B" w:rsidP="00D0583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D0583B">
        <w:rPr>
          <w:rFonts w:ascii="David" w:eastAsia="Times New Roman" w:hAnsi="David" w:cs="David"/>
          <w:sz w:val="24"/>
          <w:szCs w:val="24"/>
          <w:rtl/>
        </w:rPr>
        <w:t>אלימלך, ו׳, וחסידה, י׳. (בדפוס). עתות חירום ומלחמה: בין זהות מקצועית לזהות אישית בקרב מורים</w:t>
      </w:r>
      <w:r w:rsidRPr="00D0583B">
        <w:rPr>
          <w:rFonts w:ascii="David" w:eastAsia="Times New Roman" w:hAnsi="David" w:cs="David"/>
          <w:sz w:val="24"/>
          <w:szCs w:val="24"/>
        </w:rPr>
        <w:t xml:space="preserve">. </w:t>
      </w:r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 xml:space="preserve">דרך </w:t>
      </w:r>
      <w:proofErr w:type="spellStart"/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>אפרתה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>.</w:t>
      </w:r>
    </w:p>
    <w:p w:rsidR="00D0583B" w:rsidRPr="00D0583B" w:rsidRDefault="00D0583B" w:rsidP="00D0583B">
      <w:pPr>
        <w:spacing w:before="100" w:beforeAutospacing="1" w:after="100" w:afterAutospacing="1" w:line="360" w:lineRule="auto"/>
        <w:outlineLvl w:val="1"/>
        <w:rPr>
          <w:rFonts w:ascii="David" w:eastAsia="Times New Roman" w:hAnsi="David" w:cs="David" w:hint="cs"/>
          <w:b/>
          <w:bCs/>
          <w:sz w:val="24"/>
          <w:szCs w:val="24"/>
          <w:rtl/>
        </w:rPr>
      </w:pPr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פרקים בספרים מדעיים </w:t>
      </w:r>
    </w:p>
    <w:p w:rsidR="00D0583B" w:rsidRPr="00D0583B" w:rsidRDefault="00D0583B" w:rsidP="00D0583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D0583B">
        <w:rPr>
          <w:rFonts w:ascii="David" w:eastAsia="Times New Roman" w:hAnsi="David" w:cs="David"/>
          <w:sz w:val="24"/>
          <w:szCs w:val="24"/>
        </w:rPr>
        <w:t xml:space="preserve">Elimelech, V., &amp;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t>Chassida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, Y. (2024). Educational leadership during crisis: Ultra-Orthodox teachers in a secular education system during the Iron Swords War. In M.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t>Gutman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 (Ed.), </w:t>
      </w:r>
      <w:r w:rsidRPr="00D0583B">
        <w:rPr>
          <w:rFonts w:ascii="David" w:eastAsia="Times New Roman" w:hAnsi="David" w:cs="David"/>
          <w:i/>
          <w:iCs/>
          <w:sz w:val="24"/>
          <w:szCs w:val="24"/>
        </w:rPr>
        <w:t>Challenges facing education leadership in the shadow of war: International and multicultural perspectives from zones of conflict</w:t>
      </w:r>
      <w:r w:rsidRPr="00D0583B">
        <w:rPr>
          <w:rFonts w:ascii="David" w:eastAsia="Times New Roman" w:hAnsi="David" w:cs="David"/>
          <w:sz w:val="24"/>
          <w:szCs w:val="24"/>
        </w:rPr>
        <w:t xml:space="preserve"> (pp. 23–31).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t>Routledge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. </w:t>
      </w:r>
      <w:hyperlink r:id="rId7" w:history="1">
        <w:r w:rsidRPr="00D0583B">
          <w:rPr>
            <w:rFonts w:ascii="David" w:eastAsia="Times New Roman" w:hAnsi="David" w:cs="David"/>
            <w:color w:val="0000FF"/>
            <w:sz w:val="24"/>
            <w:szCs w:val="24"/>
            <w:u w:val="single"/>
          </w:rPr>
          <w:t>https://doi.org/10.4324/9781003571575-5</w:t>
        </w:r>
      </w:hyperlink>
    </w:p>
    <w:p w:rsidR="00D0583B" w:rsidRPr="00D0583B" w:rsidRDefault="00D0583B" w:rsidP="00D0583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D0583B">
        <w:rPr>
          <w:rFonts w:ascii="David" w:eastAsia="Times New Roman" w:hAnsi="David" w:cs="David"/>
          <w:sz w:val="24"/>
          <w:szCs w:val="24"/>
          <w:rtl/>
        </w:rPr>
        <w:t xml:space="preserve">אלימלך, ו׳. (2012). היחס לאחר בחברה החרדית: תמונת מצב על פי הקולנוע החרדי. בתוך ק׳ קפלן ונ׳ </w:t>
      </w:r>
      <w:proofErr w:type="spellStart"/>
      <w:r w:rsidRPr="00D0583B">
        <w:rPr>
          <w:rFonts w:ascii="David" w:eastAsia="Times New Roman" w:hAnsi="David" w:cs="David"/>
          <w:sz w:val="24"/>
          <w:szCs w:val="24"/>
          <w:rtl/>
        </w:rPr>
        <w:t>שטדלר</w:t>
      </w:r>
      <w:proofErr w:type="spellEnd"/>
      <w:r w:rsidRPr="00D0583B">
        <w:rPr>
          <w:rFonts w:ascii="David" w:eastAsia="Times New Roman" w:hAnsi="David" w:cs="David"/>
          <w:sz w:val="24"/>
          <w:szCs w:val="24"/>
          <w:rtl/>
        </w:rPr>
        <w:t xml:space="preserve"> (עורכים)</w:t>
      </w:r>
      <w:r w:rsidRPr="00D0583B">
        <w:rPr>
          <w:rFonts w:ascii="David" w:eastAsia="Times New Roman" w:hAnsi="David" w:cs="David"/>
          <w:sz w:val="24"/>
          <w:szCs w:val="24"/>
        </w:rPr>
        <w:t xml:space="preserve">, </w:t>
      </w:r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>מהישרדות להתבססות: תמורות בחברה החרדית בישראל ובחקרה</w:t>
      </w:r>
      <w:r w:rsidRPr="00D0583B">
        <w:rPr>
          <w:rFonts w:ascii="David" w:eastAsia="Times New Roman" w:hAnsi="David" w:cs="David"/>
          <w:sz w:val="24"/>
          <w:szCs w:val="24"/>
          <w:rtl/>
        </w:rPr>
        <w:t xml:space="preserve"> (עמ׳ 116–136). הקיבוץ המאוחד ומכון </w:t>
      </w:r>
      <w:proofErr w:type="spellStart"/>
      <w:r w:rsidRPr="00D0583B">
        <w:rPr>
          <w:rFonts w:ascii="David" w:eastAsia="Times New Roman" w:hAnsi="David" w:cs="David"/>
          <w:sz w:val="24"/>
          <w:szCs w:val="24"/>
          <w:rtl/>
        </w:rPr>
        <w:t>ון</w:t>
      </w:r>
      <w:proofErr w:type="spellEnd"/>
      <w:r w:rsidRPr="00D0583B">
        <w:rPr>
          <w:rFonts w:ascii="David" w:eastAsia="Times New Roman" w:hAnsi="David" w:cs="David"/>
          <w:sz w:val="24"/>
          <w:szCs w:val="24"/>
          <w:rtl/>
        </w:rPr>
        <w:t xml:space="preserve"> ליר בירושלים</w:t>
      </w:r>
      <w:r w:rsidRPr="00D0583B">
        <w:rPr>
          <w:rFonts w:ascii="David" w:eastAsia="Times New Roman" w:hAnsi="David" w:cs="David"/>
          <w:sz w:val="24"/>
          <w:szCs w:val="24"/>
        </w:rPr>
        <w:t>.</w:t>
      </w:r>
    </w:p>
    <w:p w:rsidR="00D0583B" w:rsidRPr="00D0583B" w:rsidRDefault="00D0583B" w:rsidP="00D0583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D0583B">
        <w:rPr>
          <w:rFonts w:ascii="David" w:eastAsia="Times New Roman" w:hAnsi="David" w:cs="David"/>
          <w:sz w:val="24"/>
          <w:szCs w:val="24"/>
          <w:rtl/>
        </w:rPr>
        <w:t xml:space="preserve">בא גד אלימלך, ו׳. (2009). מן העבר הרחוק ועד ההווה: דמויות רבנים בסרטים חרדיים. בתוך ק׳ קפלן ונ׳ </w:t>
      </w:r>
      <w:proofErr w:type="spellStart"/>
      <w:r w:rsidRPr="00D0583B">
        <w:rPr>
          <w:rFonts w:ascii="David" w:eastAsia="Times New Roman" w:hAnsi="David" w:cs="David"/>
          <w:sz w:val="24"/>
          <w:szCs w:val="24"/>
          <w:rtl/>
        </w:rPr>
        <w:t>שטדלר</w:t>
      </w:r>
      <w:proofErr w:type="spellEnd"/>
      <w:r w:rsidRPr="00D0583B">
        <w:rPr>
          <w:rFonts w:ascii="David" w:eastAsia="Times New Roman" w:hAnsi="David" w:cs="David"/>
          <w:sz w:val="24"/>
          <w:szCs w:val="24"/>
          <w:rtl/>
        </w:rPr>
        <w:t xml:space="preserve"> (עורכים)</w:t>
      </w:r>
      <w:r w:rsidRPr="00D0583B">
        <w:rPr>
          <w:rFonts w:ascii="David" w:eastAsia="Times New Roman" w:hAnsi="David" w:cs="David"/>
          <w:sz w:val="24"/>
          <w:szCs w:val="24"/>
        </w:rPr>
        <w:t xml:space="preserve">, </w:t>
      </w:r>
      <w:r w:rsidRPr="00D0583B">
        <w:rPr>
          <w:rFonts w:ascii="David" w:eastAsia="Times New Roman" w:hAnsi="David" w:cs="David"/>
          <w:i/>
          <w:iCs/>
          <w:sz w:val="24"/>
          <w:szCs w:val="24"/>
          <w:rtl/>
        </w:rPr>
        <w:t>מנהיגות וסמכות בחברה החרדית בישראל: אתגרים וחלופות</w:t>
      </w:r>
      <w:r w:rsidRPr="00D0583B">
        <w:rPr>
          <w:rFonts w:ascii="David" w:eastAsia="Times New Roman" w:hAnsi="David" w:cs="David"/>
          <w:sz w:val="24"/>
          <w:szCs w:val="24"/>
          <w:rtl/>
        </w:rPr>
        <w:t xml:space="preserve"> (עמ׳ 99–128). הקיבוץ המאוחד ומכון </w:t>
      </w:r>
      <w:proofErr w:type="spellStart"/>
      <w:r w:rsidRPr="00D0583B">
        <w:rPr>
          <w:rFonts w:ascii="David" w:eastAsia="Times New Roman" w:hAnsi="David" w:cs="David"/>
          <w:sz w:val="24"/>
          <w:szCs w:val="24"/>
          <w:rtl/>
        </w:rPr>
        <w:t>ון</w:t>
      </w:r>
      <w:proofErr w:type="spellEnd"/>
      <w:r w:rsidRPr="00D0583B">
        <w:rPr>
          <w:rFonts w:ascii="David" w:eastAsia="Times New Roman" w:hAnsi="David" w:cs="David"/>
          <w:sz w:val="24"/>
          <w:szCs w:val="24"/>
          <w:rtl/>
        </w:rPr>
        <w:t xml:space="preserve"> ליר בירושלים</w:t>
      </w:r>
      <w:r w:rsidRPr="00D0583B">
        <w:rPr>
          <w:rFonts w:ascii="David" w:eastAsia="Times New Roman" w:hAnsi="David" w:cs="David"/>
          <w:sz w:val="24"/>
          <w:szCs w:val="24"/>
        </w:rPr>
        <w:t>.</w:t>
      </w:r>
    </w:p>
    <w:p w:rsidR="00D0583B" w:rsidRPr="00D0583B" w:rsidRDefault="00D0583B" w:rsidP="00D0583B">
      <w:pPr>
        <w:spacing w:before="100" w:beforeAutospacing="1" w:after="100" w:afterAutospacing="1" w:line="360" w:lineRule="auto"/>
        <w:outlineLvl w:val="1"/>
        <w:rPr>
          <w:rFonts w:ascii="David" w:eastAsia="Times New Roman" w:hAnsi="David" w:cs="David" w:hint="cs"/>
          <w:b/>
          <w:bCs/>
          <w:sz w:val="24"/>
          <w:szCs w:val="24"/>
          <w:rtl/>
        </w:rPr>
      </w:pPr>
      <w:r w:rsidRPr="00D0583B">
        <w:rPr>
          <w:rFonts w:ascii="David" w:eastAsia="Times New Roman" w:hAnsi="David" w:cs="David"/>
          <w:b/>
          <w:bCs/>
          <w:sz w:val="24"/>
          <w:szCs w:val="24"/>
          <w:rtl/>
        </w:rPr>
        <w:t>פרקים בספרים מדעיים – התקבלו לפרסום</w:t>
      </w:r>
    </w:p>
    <w:p w:rsidR="00D0583B" w:rsidRPr="00D0583B" w:rsidRDefault="00D0583B" w:rsidP="00D0583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proofErr w:type="spellStart"/>
      <w:r w:rsidRPr="00D0583B">
        <w:rPr>
          <w:rFonts w:ascii="David" w:eastAsia="Times New Roman" w:hAnsi="David" w:cs="David"/>
          <w:sz w:val="24"/>
          <w:szCs w:val="24"/>
        </w:rPr>
        <w:t>Chassida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, Y., &amp; Elimelech, V. (in press). National discourse or community discourse?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t>Haredi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 teachers as school leaders after the October 7 attack. In M.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lastRenderedPageBreak/>
        <w:t>Gutman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 xml:space="preserve"> (Ed.), </w:t>
      </w:r>
      <w:r w:rsidRPr="00D0583B">
        <w:rPr>
          <w:rFonts w:ascii="David" w:eastAsia="Times New Roman" w:hAnsi="David" w:cs="David"/>
          <w:i/>
          <w:iCs/>
          <w:sz w:val="24"/>
          <w:szCs w:val="24"/>
        </w:rPr>
        <w:t>Minority school leadership during crises: Global and cross-continental perspectives</w:t>
      </w:r>
      <w:r w:rsidRPr="00D0583B">
        <w:rPr>
          <w:rFonts w:ascii="David" w:eastAsia="Times New Roman" w:hAnsi="David" w:cs="David"/>
          <w:sz w:val="24"/>
          <w:szCs w:val="24"/>
        </w:rPr>
        <w:t xml:space="preserve">. </w:t>
      </w:r>
      <w:proofErr w:type="spellStart"/>
      <w:r w:rsidRPr="00D0583B">
        <w:rPr>
          <w:rFonts w:ascii="David" w:eastAsia="Times New Roman" w:hAnsi="David" w:cs="David"/>
          <w:sz w:val="24"/>
          <w:szCs w:val="24"/>
        </w:rPr>
        <w:t>Routledge</w:t>
      </w:r>
      <w:proofErr w:type="spellEnd"/>
      <w:r w:rsidRPr="00D0583B">
        <w:rPr>
          <w:rFonts w:ascii="David" w:eastAsia="Times New Roman" w:hAnsi="David" w:cs="David"/>
          <w:sz w:val="24"/>
          <w:szCs w:val="24"/>
        </w:rPr>
        <w:t>.</w:t>
      </w:r>
    </w:p>
    <w:p w:rsidR="00D0583B" w:rsidRPr="00D0583B" w:rsidRDefault="00D0583B" w:rsidP="00D0583B">
      <w:pPr>
        <w:spacing w:line="360" w:lineRule="auto"/>
        <w:rPr>
          <w:rFonts w:ascii="David" w:hAnsi="David" w:cs="David" w:hint="cs"/>
          <w:sz w:val="24"/>
          <w:szCs w:val="24"/>
        </w:rPr>
      </w:pPr>
    </w:p>
    <w:sectPr w:rsidR="00D0583B" w:rsidRPr="00D0583B" w:rsidSect="00E2335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4304E"/>
    <w:multiLevelType w:val="multilevel"/>
    <w:tmpl w:val="DA6CF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50CDC"/>
    <w:multiLevelType w:val="multilevel"/>
    <w:tmpl w:val="EE54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6A6473"/>
    <w:multiLevelType w:val="multilevel"/>
    <w:tmpl w:val="BFD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F4895"/>
    <w:multiLevelType w:val="multilevel"/>
    <w:tmpl w:val="83A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3B"/>
    <w:rsid w:val="00BE5BD0"/>
    <w:rsid w:val="00D0583B"/>
    <w:rsid w:val="00E2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743AD-EB3C-4693-BE3C-371D3A2D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0"/>
    <w:uiPriority w:val="9"/>
    <w:qFormat/>
    <w:rsid w:val="00D0583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D0583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Emphasis"/>
    <w:basedOn w:val="a0"/>
    <w:uiPriority w:val="20"/>
    <w:qFormat/>
    <w:rsid w:val="00D0583B"/>
    <w:rPr>
      <w:i/>
      <w:iCs/>
    </w:rPr>
  </w:style>
  <w:style w:type="character" w:styleId="Hyperlink">
    <w:name w:val="Hyperlink"/>
    <w:basedOn w:val="a0"/>
    <w:uiPriority w:val="99"/>
    <w:semiHidden/>
    <w:unhideWhenUsed/>
    <w:rsid w:val="00D05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4324/9781003571575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7459/es/430207" TargetMode="External"/><Relationship Id="rId5" Type="http://schemas.openxmlformats.org/officeDocument/2006/relationships/hyperlink" Target="https://doi.org/10.3390/systems140505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חשבון Microsoft</dc:creator>
  <cp:keywords/>
  <dc:description/>
  <cp:lastModifiedBy>חשבון Microsoft</cp:lastModifiedBy>
  <cp:revision>1</cp:revision>
  <dcterms:created xsi:type="dcterms:W3CDTF">2026-07-20T07:46:00Z</dcterms:created>
  <dcterms:modified xsi:type="dcterms:W3CDTF">2026-07-20T07:48:00Z</dcterms:modified>
</cp:coreProperties>
</file>